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9"/>
          <w:footerReference w:type="default" r:id="rId10"/>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8424DF">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Die im </w:t>
            </w:r>
            <w:proofErr w:type="spellStart"/>
            <w:r w:rsidRPr="00013C62">
              <w:rPr>
                <w:rFonts w:asciiTheme="majorHAnsi" w:hAnsiTheme="majorHAnsi"/>
                <w:color w:val="244061" w:themeColor="accent1" w:themeShade="80"/>
              </w:rPr>
              <w:t>HarmoS</w:t>
            </w:r>
            <w:proofErr w:type="spellEnd"/>
            <w:r w:rsidRPr="00013C62">
              <w:rPr>
                <w:rFonts w:asciiTheme="majorHAnsi" w:hAnsiTheme="majorHAnsi"/>
                <w:color w:val="244061" w:themeColor="accent1" w:themeShade="80"/>
              </w:rPr>
              <w:t>-Umsetzungsbeschluss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 xml:space="preserve">Sollen die </w:t>
            </w:r>
            <w:proofErr w:type="spellStart"/>
            <w:r>
              <w:rPr>
                <w:rFonts w:asciiTheme="majorHAnsi" w:hAnsiTheme="majorHAnsi"/>
                <w:i/>
                <w:color w:val="244061" w:themeColor="accent1" w:themeShade="80"/>
              </w:rPr>
              <w:t>HarmoS</w:t>
            </w:r>
            <w:proofErr w:type="spellEnd"/>
            <w:r>
              <w:rPr>
                <w:rFonts w:asciiTheme="majorHAnsi" w:hAnsiTheme="majorHAnsi"/>
                <w:i/>
                <w:color w:val="244061" w:themeColor="accent1" w:themeShade="80"/>
              </w:rPr>
              <w:t>-Grundkompetenzen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 xml:space="preserve">Die Kompetenzformulierungen geben genügend Hinweise für die </w:t>
            </w:r>
            <w:proofErr w:type="spellStart"/>
            <w:r w:rsidRPr="00CD5068">
              <w:rPr>
                <w:rFonts w:asciiTheme="majorHAnsi" w:hAnsiTheme="majorHAnsi"/>
                <w:color w:val="17365D" w:themeColor="text2" w:themeShade="BF"/>
              </w:rPr>
              <w:t>Über</w:t>
            </w:r>
            <w:r>
              <w:rPr>
                <w:rFonts w:asciiTheme="majorHAnsi" w:hAnsiTheme="majorHAnsi"/>
                <w:color w:val="17365D" w:themeColor="text2" w:themeShade="BF"/>
              </w:rPr>
              <w:t>trittsprüfungen</w:t>
            </w:r>
            <w:proofErr w:type="spellEnd"/>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 xml:space="preserve">die Promotions- und </w:t>
            </w:r>
            <w:proofErr w:type="spellStart"/>
            <w:r w:rsidRPr="00013C62">
              <w:rPr>
                <w:rFonts w:asciiTheme="majorHAnsi" w:hAnsiTheme="majorHAnsi"/>
                <w:color w:val="244061" w:themeColor="accent1" w:themeShade="80"/>
              </w:rPr>
              <w:t>Übertrittsrege</w:t>
            </w:r>
            <w:r>
              <w:rPr>
                <w:rFonts w:asciiTheme="majorHAnsi" w:hAnsiTheme="majorHAnsi"/>
                <w:color w:val="244061" w:themeColor="accent1" w:themeShade="80"/>
              </w:rPr>
              <w:t>lungen</w:t>
            </w:r>
            <w:proofErr w:type="spellEnd"/>
            <w:r>
              <w:rPr>
                <w:rFonts w:asciiTheme="majorHAnsi" w:hAnsiTheme="majorHAnsi"/>
                <w:color w:val="244061" w:themeColor="accent1" w:themeShade="80"/>
              </w:rPr>
              <w:t xml:space="preserve">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8424DF">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 xml:space="preserve">O und </w:t>
            </w:r>
            <w:proofErr w:type="spellStart"/>
            <w:r>
              <w:rPr>
                <w:rFonts w:asciiTheme="majorHAnsi" w:hAnsiTheme="majorHAnsi"/>
                <w:i/>
                <w:color w:val="244061" w:themeColor="accent1" w:themeShade="80"/>
              </w:rPr>
              <w:t>Un</w:t>
            </w:r>
            <w:r>
              <w:rPr>
                <w:rFonts w:asciiTheme="majorHAnsi" w:hAnsiTheme="majorHAnsi"/>
                <w:i/>
                <w:color w:val="244061" w:themeColor="accent1" w:themeShade="80"/>
              </w:rPr>
              <w:t>e</w:t>
            </w:r>
            <w:r>
              <w:rPr>
                <w:rFonts w:asciiTheme="majorHAnsi" w:hAnsiTheme="majorHAnsi"/>
                <w:i/>
                <w:color w:val="244061" w:themeColor="accent1" w:themeShade="80"/>
              </w:rPr>
              <w:t>sco</w:t>
            </w:r>
            <w:proofErr w:type="spellEnd"/>
            <w:r>
              <w:rPr>
                <w:rFonts w:asciiTheme="majorHAnsi" w:hAnsiTheme="majorHAnsi"/>
                <w:i/>
                <w:color w:val="244061" w:themeColor="accent1" w:themeShade="80"/>
              </w:rPr>
              <w:t xml:space="preserve">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proofErr w:type="spellStart"/>
            <w:r>
              <w:rPr>
                <w:rFonts w:asciiTheme="majorHAnsi" w:hAnsiTheme="majorHAnsi"/>
                <w:color w:val="244061" w:themeColor="accent1" w:themeShade="80"/>
              </w:rPr>
              <w:t>summative</w:t>
            </w:r>
            <w:proofErr w:type="spellEnd"/>
            <w:r>
              <w:rPr>
                <w:rFonts w:asciiTheme="majorHAnsi" w:hAnsiTheme="majorHAnsi"/>
                <w:color w:val="244061" w:themeColor="accent1" w:themeShade="80"/>
              </w:rPr>
              <w:t xml:space="preser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8424DF">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8424DF" w:rsidRPr="00C82D94" w:rsidRDefault="00EA011A" w:rsidP="008424DF">
      <w:pPr>
        <w:pStyle w:val="berschrift1"/>
      </w:pPr>
      <w:r>
        <w:rPr>
          <w:rStyle w:val="asterisk"/>
        </w:rPr>
        <w:br w:type="page"/>
      </w:r>
      <w:r w:rsidR="008424DF" w:rsidRPr="00C82D94">
        <w:lastRenderedPageBreak/>
        <w:t>Fachbereich Bewegung und Sport</w:t>
      </w:r>
    </w:p>
    <w:p w:rsidR="008424DF" w:rsidRPr="008424DF" w:rsidRDefault="008424DF" w:rsidP="008424DF">
      <w:pPr>
        <w:pStyle w:val="Listenabsatz"/>
        <w:tabs>
          <w:tab w:val="left" w:pos="567"/>
        </w:tabs>
        <w:spacing w:before="80" w:after="80" w:line="280" w:lineRule="exact"/>
        <w:ind w:left="0"/>
        <w:rPr>
          <w:rStyle w:val="asterisk"/>
          <w:rFonts w:cs="Arial"/>
          <w:b/>
          <w:szCs w:val="20"/>
        </w:rPr>
      </w:pPr>
      <w:r>
        <w:rPr>
          <w:rFonts w:cs="Arial"/>
          <w:b/>
          <w:i/>
          <w:szCs w:val="20"/>
        </w:rPr>
        <w:t xml:space="preserve">10a) </w:t>
      </w:r>
      <w:r w:rsidRPr="00C82D94">
        <w:rPr>
          <w:rFonts w:cs="Arial"/>
          <w:b/>
          <w:i/>
          <w:szCs w:val="20"/>
        </w:rPr>
        <w:t xml:space="preserve">Bewegung und Sport: </w:t>
      </w:r>
      <w:r w:rsidRPr="00C82D94">
        <w:rPr>
          <w:rFonts w:cs="Arial"/>
          <w:b/>
          <w:szCs w:val="20"/>
        </w:rPr>
        <w:t>Sind Sie mit der Einleitung einverstanden?</w:t>
      </w:r>
    </w:p>
    <w:p w:rsidR="008424DF" w:rsidRPr="00C82D94" w:rsidRDefault="008424DF" w:rsidP="008424DF">
      <w:pPr>
        <w:pStyle w:val="Auswahl2"/>
        <w:tabs>
          <w:tab w:val="left" w:pos="567"/>
        </w:tabs>
        <w:rPr>
          <w:rStyle w:val="asterisk"/>
          <w:i/>
        </w:rPr>
      </w:pPr>
      <w:r w:rsidRPr="00C82D94">
        <w:t>ja</w:t>
      </w:r>
    </w:p>
    <w:p w:rsidR="008424DF" w:rsidRPr="00C82D94" w:rsidRDefault="008424DF" w:rsidP="008424DF">
      <w:pPr>
        <w:pStyle w:val="Auswahl2"/>
        <w:tabs>
          <w:tab w:val="left" w:pos="567"/>
        </w:tabs>
      </w:pPr>
      <w:r w:rsidRPr="00C82D94">
        <w:t>ja, mit Vorbehalten</w:t>
      </w:r>
    </w:p>
    <w:p w:rsidR="008424DF" w:rsidRPr="00C82D94" w:rsidRDefault="008424DF" w:rsidP="008424DF">
      <w:pPr>
        <w:pStyle w:val="Auswahl2"/>
        <w:tabs>
          <w:tab w:val="left" w:pos="567"/>
        </w:tabs>
      </w:pPr>
      <w:r w:rsidRPr="00C82D94">
        <w:t>nein</w:t>
      </w:r>
    </w:p>
    <w:p w:rsidR="008424DF" w:rsidRPr="00C82D94" w:rsidRDefault="008424DF" w:rsidP="008424DF">
      <w:pPr>
        <w:pStyle w:val="Auswahl2"/>
        <w:tabs>
          <w:tab w:val="left" w:pos="567"/>
        </w:tabs>
      </w:pPr>
      <w:r w:rsidRPr="00C82D94">
        <w:t>keine Stellungnahme</w:t>
      </w:r>
    </w:p>
    <w:p w:rsidR="008424DF" w:rsidRDefault="008424DF" w:rsidP="008424DF">
      <w:pPr>
        <w:pStyle w:val="Frage"/>
        <w:rPr>
          <w:b w:val="0"/>
        </w:rPr>
      </w:pPr>
      <w:r w:rsidRPr="00C82D94">
        <w:rPr>
          <w:b w:val="0"/>
        </w:rPr>
        <w:t>Bemerkungen</w:t>
      </w:r>
    </w:p>
    <w:p w:rsidR="008424DF" w:rsidRPr="00C82D94" w:rsidRDefault="008424DF" w:rsidP="008424DF">
      <w:pPr>
        <w:pStyle w:val="Frage"/>
        <w:rPr>
          <w:b w:val="0"/>
        </w:rPr>
      </w:pPr>
      <w:r>
        <w:rPr>
          <w:b w:val="0"/>
        </w:rPr>
        <w:t>…</w:t>
      </w:r>
    </w:p>
    <w:p w:rsidR="008424DF" w:rsidRDefault="008424DF" w:rsidP="008424DF">
      <w:pPr>
        <w:pStyle w:val="Auswahl"/>
        <w:tabs>
          <w:tab w:val="left" w:pos="567"/>
        </w:tabs>
        <w:ind w:left="0"/>
      </w:pPr>
    </w:p>
    <w:p w:rsidR="008424DF" w:rsidRDefault="008424DF" w:rsidP="008424DF">
      <w:pPr>
        <w:pStyle w:val="Auswahl"/>
        <w:tabs>
          <w:tab w:val="left" w:pos="567"/>
        </w:tabs>
        <w:ind w:left="0"/>
      </w:pPr>
    </w:p>
    <w:p w:rsidR="008424DF" w:rsidRPr="00C82D94" w:rsidRDefault="008424DF" w:rsidP="008424DF">
      <w:pPr>
        <w:pStyle w:val="Auswahl"/>
        <w:tabs>
          <w:tab w:val="left" w:pos="567"/>
        </w:tabs>
        <w:ind w:left="0"/>
      </w:pPr>
    </w:p>
    <w:p w:rsidR="008424DF" w:rsidRPr="00C82D94" w:rsidRDefault="008424DF" w:rsidP="008424DF">
      <w:pPr>
        <w:pStyle w:val="Frage"/>
        <w:tabs>
          <w:tab w:val="clear" w:pos="567"/>
        </w:tabs>
        <w:ind w:left="0" w:firstLine="0"/>
      </w:pPr>
      <w:r>
        <w:rPr>
          <w:i/>
        </w:rPr>
        <w:t xml:space="preserve">10b) </w:t>
      </w:r>
      <w:r w:rsidRPr="00C82D94">
        <w:rPr>
          <w:i/>
        </w:rPr>
        <w:t>Bewegung und Sport:</w:t>
      </w:r>
      <w:r w:rsidRPr="00C82D94">
        <w:t xml:space="preserve"> Sind Sie mit der Auswahl der Kompetenzen sowie deren Aufbau einverstanden?</w:t>
      </w:r>
    </w:p>
    <w:p w:rsidR="008424DF" w:rsidRPr="00C82D94" w:rsidRDefault="008424DF" w:rsidP="008424DF">
      <w:pPr>
        <w:pStyle w:val="Auswahl2"/>
        <w:tabs>
          <w:tab w:val="left" w:pos="567"/>
        </w:tabs>
      </w:pPr>
      <w:r w:rsidRPr="00C82D94">
        <w:t>ja</w:t>
      </w:r>
    </w:p>
    <w:p w:rsidR="008424DF" w:rsidRPr="00C82D94" w:rsidRDefault="008424DF" w:rsidP="008424DF">
      <w:pPr>
        <w:pStyle w:val="Auswahl2"/>
        <w:tabs>
          <w:tab w:val="left" w:pos="567"/>
        </w:tabs>
      </w:pPr>
      <w:r w:rsidRPr="00C82D94">
        <w:t>ja, mit Vorbehalten</w:t>
      </w:r>
    </w:p>
    <w:p w:rsidR="008424DF" w:rsidRPr="00C82D94" w:rsidRDefault="008424DF" w:rsidP="008424DF">
      <w:pPr>
        <w:pStyle w:val="Auswahl2"/>
        <w:tabs>
          <w:tab w:val="left" w:pos="567"/>
        </w:tabs>
      </w:pPr>
      <w:r w:rsidRPr="00C82D94">
        <w:t>nein</w:t>
      </w:r>
    </w:p>
    <w:p w:rsidR="008424DF" w:rsidRDefault="008424DF" w:rsidP="008424DF">
      <w:pPr>
        <w:pStyle w:val="Auswahl2"/>
        <w:tabs>
          <w:tab w:val="left" w:pos="567"/>
        </w:tabs>
      </w:pPr>
      <w:r w:rsidRPr="00C82D94">
        <w:t>keine Stellungnahme</w:t>
      </w:r>
    </w:p>
    <w:p w:rsidR="008424DF" w:rsidRDefault="008424DF" w:rsidP="008424DF">
      <w:pPr>
        <w:pStyle w:val="Auswahl2"/>
        <w:numPr>
          <w:ilvl w:val="0"/>
          <w:numId w:val="0"/>
        </w:numPr>
        <w:tabs>
          <w:tab w:val="left" w:pos="567"/>
        </w:tabs>
        <w:ind w:left="567"/>
      </w:pPr>
    </w:p>
    <w:p w:rsidR="008424DF" w:rsidRPr="008C4384" w:rsidRDefault="008424DF" w:rsidP="008424DF">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50"/>
        <w:gridCol w:w="687"/>
        <w:gridCol w:w="687"/>
        <w:gridCol w:w="687"/>
        <w:gridCol w:w="687"/>
        <w:gridCol w:w="688"/>
      </w:tblGrid>
      <w:tr w:rsidR="008424DF" w:rsidRPr="005954CF" w:rsidTr="00BD3097">
        <w:tc>
          <w:tcPr>
            <w:tcW w:w="5850" w:type="dxa"/>
          </w:tcPr>
          <w:p w:rsidR="008424DF" w:rsidRPr="005954CF" w:rsidRDefault="008424DF" w:rsidP="00BD3097">
            <w:pPr>
              <w:ind w:left="360"/>
              <w:rPr>
                <w:color w:val="C0504D" w:themeColor="accent2"/>
              </w:rPr>
            </w:pPr>
          </w:p>
        </w:tc>
        <w:tc>
          <w:tcPr>
            <w:tcW w:w="687" w:type="dxa"/>
            <w:tcBorders>
              <w:bottom w:val="single" w:sz="4" w:space="0" w:color="auto"/>
            </w:tcBorders>
          </w:tcPr>
          <w:p w:rsidR="008424DF" w:rsidRPr="002F24B2" w:rsidRDefault="008424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8424DF" w:rsidRPr="002F24B2" w:rsidRDefault="008424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8424DF" w:rsidRPr="002F24B2" w:rsidRDefault="008424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8424DF" w:rsidRPr="002F24B2" w:rsidRDefault="008424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8424DF" w:rsidRPr="002F24B2" w:rsidRDefault="008424DF"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8424DF" w:rsidRPr="005954CF" w:rsidTr="00BD3097">
        <w:tc>
          <w:tcPr>
            <w:tcW w:w="5850" w:type="dxa"/>
          </w:tcPr>
          <w:p w:rsidR="008424DF" w:rsidRPr="00A87506" w:rsidRDefault="008424DF" w:rsidP="00BD3097">
            <w:pPr>
              <w:ind w:left="360"/>
              <w:rPr>
                <w:rFonts w:asciiTheme="majorHAnsi" w:hAnsiTheme="majorHAnsi"/>
                <w:i/>
                <w:color w:val="C0504D" w:themeColor="accent2"/>
              </w:rPr>
            </w:pPr>
            <w:r w:rsidRPr="00A87506">
              <w:rPr>
                <w:rFonts w:asciiTheme="majorHAnsi" w:hAnsiTheme="majorHAnsi"/>
                <w:i/>
                <w:color w:val="1F497D" w:themeColor="text2"/>
              </w:rPr>
              <w:t>Genügen die Lehrmittel?</w:t>
            </w:r>
          </w:p>
        </w:tc>
        <w:tc>
          <w:tcPr>
            <w:tcW w:w="687" w:type="dxa"/>
            <w:shd w:val="clear" w:color="auto" w:fill="F2F2F2" w:themeFill="background1" w:themeFillShade="F2"/>
          </w:tcPr>
          <w:p w:rsidR="008424DF" w:rsidRPr="005954CF" w:rsidRDefault="008424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8424DF" w:rsidRPr="005954CF" w:rsidRDefault="008424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8424DF" w:rsidRPr="005954CF" w:rsidRDefault="008424DF" w:rsidP="00BD3097">
            <w:pPr>
              <w:pStyle w:val="Frage"/>
              <w:tabs>
                <w:tab w:val="clear" w:pos="567"/>
              </w:tabs>
              <w:ind w:left="0" w:firstLine="0"/>
              <w:rPr>
                <w:color w:val="C0504D" w:themeColor="accent2"/>
              </w:rPr>
            </w:pPr>
          </w:p>
        </w:tc>
        <w:tc>
          <w:tcPr>
            <w:tcW w:w="687" w:type="dxa"/>
            <w:shd w:val="clear" w:color="auto" w:fill="F2F2F2" w:themeFill="background1" w:themeFillShade="F2"/>
          </w:tcPr>
          <w:p w:rsidR="008424DF" w:rsidRPr="005954CF" w:rsidRDefault="008424DF"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8424DF" w:rsidRPr="005954CF" w:rsidRDefault="008424DF" w:rsidP="00BD3097">
            <w:pPr>
              <w:pStyle w:val="Frage"/>
              <w:tabs>
                <w:tab w:val="clear" w:pos="567"/>
              </w:tabs>
              <w:ind w:left="0" w:firstLine="0"/>
              <w:rPr>
                <w:color w:val="C0504D" w:themeColor="accent2"/>
              </w:rPr>
            </w:pPr>
          </w:p>
        </w:tc>
      </w:tr>
    </w:tbl>
    <w:p w:rsidR="008424DF" w:rsidRDefault="008424DF" w:rsidP="008424DF">
      <w:pPr>
        <w:pStyle w:val="Auswahl"/>
        <w:tabs>
          <w:tab w:val="left" w:pos="567"/>
        </w:tabs>
        <w:ind w:left="0"/>
      </w:pPr>
    </w:p>
    <w:p w:rsidR="008424DF" w:rsidRDefault="008424DF" w:rsidP="008424DF">
      <w:pPr>
        <w:pStyle w:val="Auswahl"/>
        <w:tabs>
          <w:tab w:val="left" w:pos="567"/>
        </w:tabs>
        <w:ind w:left="0"/>
      </w:pPr>
      <w:r w:rsidRPr="00C82D94">
        <w:t>Bemerkungen</w:t>
      </w:r>
    </w:p>
    <w:p w:rsidR="008424DF" w:rsidRPr="00C82D94" w:rsidRDefault="008424DF" w:rsidP="008424DF">
      <w:pPr>
        <w:pStyle w:val="Auswahl"/>
        <w:tabs>
          <w:tab w:val="left" w:pos="567"/>
        </w:tabs>
        <w:ind w:left="0"/>
      </w:pPr>
      <w:r>
        <w:t>…</w:t>
      </w:r>
    </w:p>
    <w:p w:rsidR="008424DF" w:rsidRDefault="008424DF" w:rsidP="008424DF">
      <w:pPr>
        <w:pStyle w:val="Auswahl"/>
        <w:tabs>
          <w:tab w:val="left" w:pos="567"/>
        </w:tabs>
        <w:ind w:left="0"/>
        <w:rPr>
          <w:noProof/>
        </w:rPr>
      </w:pPr>
    </w:p>
    <w:p w:rsidR="008424DF" w:rsidRDefault="008424DF" w:rsidP="008424DF">
      <w:pPr>
        <w:pStyle w:val="Auswahl"/>
        <w:tabs>
          <w:tab w:val="left" w:pos="567"/>
        </w:tabs>
        <w:ind w:left="0"/>
        <w:rPr>
          <w:noProof/>
        </w:rPr>
      </w:pPr>
    </w:p>
    <w:p w:rsidR="008424DF" w:rsidRPr="00C82D94" w:rsidRDefault="008424DF" w:rsidP="008424DF">
      <w:pPr>
        <w:pStyle w:val="Auswahl"/>
        <w:tabs>
          <w:tab w:val="left" w:pos="567"/>
        </w:tabs>
        <w:ind w:left="0"/>
        <w:rPr>
          <w:noProof/>
        </w:rPr>
      </w:pPr>
    </w:p>
    <w:p w:rsidR="008424DF" w:rsidRPr="00C82D94" w:rsidRDefault="008424DF" w:rsidP="008424DF">
      <w:pPr>
        <w:pStyle w:val="Frage"/>
        <w:tabs>
          <w:tab w:val="clear" w:pos="567"/>
        </w:tabs>
        <w:ind w:left="0" w:firstLine="0"/>
      </w:pPr>
      <w:r>
        <w:rPr>
          <w:i/>
        </w:rPr>
        <w:t xml:space="preserve">10c) </w:t>
      </w:r>
      <w:r w:rsidRPr="00C82D94">
        <w:rPr>
          <w:i/>
        </w:rPr>
        <w:t>Bewegung und Sport:</w:t>
      </w:r>
      <w:r w:rsidRPr="00C82D94">
        <w:t xml:space="preserve"> Sind die Mindestansprüche angemessen gesetzt?</w:t>
      </w:r>
    </w:p>
    <w:p w:rsidR="008424DF" w:rsidRPr="00C82D94" w:rsidRDefault="008424DF" w:rsidP="008424DF">
      <w:pPr>
        <w:pStyle w:val="Auswahl2"/>
        <w:tabs>
          <w:tab w:val="left" w:pos="567"/>
        </w:tabs>
        <w:rPr>
          <w:rStyle w:val="asterisk"/>
        </w:rPr>
      </w:pPr>
      <w:r w:rsidRPr="00C82D94">
        <w:t>allgemein zu hoch</w:t>
      </w:r>
    </w:p>
    <w:p w:rsidR="008424DF" w:rsidRPr="00C82D94" w:rsidRDefault="008424DF" w:rsidP="008424DF">
      <w:pPr>
        <w:pStyle w:val="Auswahl2"/>
        <w:tabs>
          <w:tab w:val="left" w:pos="567"/>
        </w:tabs>
      </w:pPr>
      <w:r w:rsidRPr="00C82D94">
        <w:t>in einzelnen Kompetenzen zu hoch</w:t>
      </w:r>
    </w:p>
    <w:p w:rsidR="008424DF" w:rsidRPr="00C82D94" w:rsidRDefault="008424DF" w:rsidP="008424DF">
      <w:pPr>
        <w:pStyle w:val="Auswahl2"/>
        <w:tabs>
          <w:tab w:val="left" w:pos="567"/>
        </w:tabs>
      </w:pPr>
      <w:r w:rsidRPr="00C82D94">
        <w:t>angemessen</w:t>
      </w:r>
    </w:p>
    <w:p w:rsidR="008424DF" w:rsidRPr="00C82D94" w:rsidRDefault="008424DF" w:rsidP="008424DF">
      <w:pPr>
        <w:pStyle w:val="Auswahl2"/>
        <w:tabs>
          <w:tab w:val="left" w:pos="567"/>
        </w:tabs>
      </w:pPr>
      <w:r w:rsidRPr="00C82D94">
        <w:t>in einzelnen Kompetenzen zu tief</w:t>
      </w:r>
    </w:p>
    <w:p w:rsidR="008424DF" w:rsidRPr="00C82D94" w:rsidRDefault="008424DF" w:rsidP="008424DF">
      <w:pPr>
        <w:pStyle w:val="Auswahl2"/>
        <w:tabs>
          <w:tab w:val="left" w:pos="567"/>
        </w:tabs>
      </w:pPr>
      <w:r w:rsidRPr="00C82D94">
        <w:t>allgemein zu tief</w:t>
      </w:r>
    </w:p>
    <w:p w:rsidR="008424DF" w:rsidRPr="00C82D94" w:rsidRDefault="008424DF" w:rsidP="008424DF">
      <w:pPr>
        <w:pStyle w:val="Auswahl2"/>
        <w:tabs>
          <w:tab w:val="left" w:pos="567"/>
        </w:tabs>
      </w:pPr>
      <w:r w:rsidRPr="00C82D94">
        <w:t>keine Stellungnahme</w:t>
      </w:r>
    </w:p>
    <w:p w:rsidR="008424DF" w:rsidRDefault="008424DF" w:rsidP="008424DF">
      <w:pPr>
        <w:pStyle w:val="Auswahl"/>
        <w:tabs>
          <w:tab w:val="left" w:pos="567"/>
        </w:tabs>
        <w:ind w:left="0"/>
      </w:pPr>
      <w:r w:rsidRPr="00C82D94">
        <w:t>Bemerkungen</w:t>
      </w:r>
    </w:p>
    <w:p w:rsidR="008424DF" w:rsidRPr="00C82D94" w:rsidRDefault="008424DF" w:rsidP="008424DF">
      <w:pPr>
        <w:pStyle w:val="Auswahl"/>
        <w:tabs>
          <w:tab w:val="left" w:pos="567"/>
        </w:tabs>
        <w:ind w:left="0"/>
      </w:pPr>
      <w:r>
        <w:t>…</w:t>
      </w:r>
    </w:p>
    <w:p w:rsidR="008424DF" w:rsidRPr="00C82D94" w:rsidRDefault="008424DF" w:rsidP="008424DF">
      <w:pPr>
        <w:pStyle w:val="Auswahl"/>
        <w:tabs>
          <w:tab w:val="left" w:pos="567"/>
        </w:tabs>
        <w:ind w:left="0"/>
      </w:pPr>
      <w:bookmarkStart w:id="1" w:name="_GoBack"/>
      <w:bookmarkEnd w:id="1"/>
    </w:p>
    <w:sectPr w:rsidR="008424DF" w:rsidRPr="00C82D94" w:rsidSect="00596D54">
      <w:headerReference w:type="default" r:id="rId11"/>
      <w:footerReference w:type="default" r:id="rId12"/>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8424DF">
            <w:rPr>
              <w:noProof/>
            </w:rPr>
            <w:instrText>8</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8424DF">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8424DF">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8424DF">
            <w:rPr>
              <w:noProof/>
            </w:rPr>
            <w:instrText>8</w:instrText>
          </w:r>
          <w:r w:rsidRPr="00EA2813">
            <w:fldChar w:fldCharType="end"/>
          </w:r>
          <w:r w:rsidRPr="00EA2813">
            <w:instrText>"</w:instrText>
          </w:r>
          <w:r w:rsidR="00023213">
            <w:fldChar w:fldCharType="separate"/>
          </w:r>
          <w:r w:rsidR="008424DF">
            <w:rPr>
              <w:noProof/>
            </w:rPr>
            <w:t>Seite</w:t>
          </w:r>
          <w:r w:rsidR="008424DF" w:rsidRPr="00EA2813">
            <w:rPr>
              <w:noProof/>
            </w:rPr>
            <w:t xml:space="preserve"> </w:t>
          </w:r>
          <w:r w:rsidR="008424DF">
            <w:rPr>
              <w:noProof/>
            </w:rPr>
            <w:t>1</w:t>
          </w:r>
          <w:r w:rsidR="008424DF" w:rsidRPr="00EA2813">
            <w:rPr>
              <w:noProof/>
            </w:rPr>
            <w:t>/</w:t>
          </w:r>
          <w:r w:rsidR="008424DF">
            <w:rPr>
              <w:noProof/>
            </w:rPr>
            <w:t>8</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8424DF">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8424DF">
      <w:rPr>
        <w:noProof/>
      </w:rPr>
      <w:t>8</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8424DF">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8424DF">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8424DF">
      <w:instrText>Erziehungsdepartement des Kantons Basel-Stadt</w:instrText>
    </w:r>
    <w:r w:rsidRPr="00EA2813">
      <w:fldChar w:fldCharType="end"/>
    </w:r>
    <w:r w:rsidRPr="00EA2813">
      <w:instrText xml:space="preserve">" </w:instrText>
    </w:r>
    <w:r w:rsidRPr="00EA2813">
      <w:fldChar w:fldCharType="separate"/>
    </w:r>
    <w:r w:rsidR="008424DF">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F39077E"/>
    <w:multiLevelType w:val="hybridMultilevel"/>
    <w:tmpl w:val="9EB2A116"/>
    <w:lvl w:ilvl="0" w:tplc="696A87F2">
      <w:start w:val="10"/>
      <w:numFmt w:val="decimal"/>
      <w:pStyle w:val="berschrift1"/>
      <w:lvlText w:val="%1."/>
      <w:lvlJc w:val="left"/>
      <w:pPr>
        <w:ind w:left="405" w:hanging="405"/>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nsid w:val="2AA953D9"/>
    <w:multiLevelType w:val="hybridMultilevel"/>
    <w:tmpl w:val="B8F86FDC"/>
    <w:lvl w:ilvl="0" w:tplc="E710E4F2">
      <w:start w:val="7"/>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30637BBE"/>
    <w:multiLevelType w:val="hybridMultilevel"/>
    <w:tmpl w:val="AAF88B5A"/>
    <w:lvl w:ilvl="0" w:tplc="77183C38">
      <w:start w:val="8"/>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8">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1">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2">
    <w:nsid w:val="692503BA"/>
    <w:multiLevelType w:val="hybridMultilevel"/>
    <w:tmpl w:val="C9D45788"/>
    <w:lvl w:ilvl="0" w:tplc="50506BE0">
      <w:start w:val="6"/>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98D69EB"/>
    <w:multiLevelType w:val="hybridMultilevel"/>
    <w:tmpl w:val="44525A92"/>
    <w:lvl w:ilvl="0" w:tplc="209E9362">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6">
    <w:nsid w:val="7E0425E8"/>
    <w:multiLevelType w:val="hybridMultilevel"/>
    <w:tmpl w:val="ACF4B95C"/>
    <w:lvl w:ilvl="0" w:tplc="B734E654">
      <w:start w:val="9"/>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4"/>
  </w:num>
  <w:num w:numId="2">
    <w:abstractNumId w:val="17"/>
  </w:num>
  <w:num w:numId="3">
    <w:abstractNumId w:val="15"/>
  </w:num>
  <w:num w:numId="4">
    <w:abstractNumId w:val="1"/>
  </w:num>
  <w:num w:numId="5">
    <w:abstractNumId w:val="13"/>
  </w:num>
  <w:num w:numId="6">
    <w:abstractNumId w:val="0"/>
  </w:num>
  <w:num w:numId="7">
    <w:abstractNumId w:val="10"/>
  </w:num>
  <w:num w:numId="8">
    <w:abstractNumId w:val="11"/>
  </w:num>
  <w:num w:numId="9">
    <w:abstractNumId w:val="2"/>
  </w:num>
  <w:num w:numId="10">
    <w:abstractNumId w:val="9"/>
  </w:num>
  <w:num w:numId="11">
    <w:abstractNumId w:val="8"/>
  </w:num>
  <w:num w:numId="12">
    <w:abstractNumId w:val="14"/>
  </w:num>
  <w:num w:numId="13">
    <w:abstractNumId w:val="14"/>
    <w:lvlOverride w:ilvl="0">
      <w:startOverride w:val="11"/>
    </w:lvlOverride>
  </w:num>
  <w:num w:numId="14">
    <w:abstractNumId w:val="12"/>
  </w:num>
  <w:num w:numId="15">
    <w:abstractNumId w:val="5"/>
  </w:num>
  <w:num w:numId="16">
    <w:abstractNumId w:val="6"/>
  </w:num>
  <w:num w:numId="17">
    <w:abstractNumId w:val="16"/>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0C12"/>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657A6"/>
    <w:rsid w:val="005700CD"/>
    <w:rsid w:val="00571962"/>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24DF"/>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1FCC"/>
    <w:rsid w:val="00AA4E71"/>
    <w:rsid w:val="00AA5639"/>
    <w:rsid w:val="00AA7D37"/>
    <w:rsid w:val="00AB1BB6"/>
    <w:rsid w:val="00AB1F4E"/>
    <w:rsid w:val="00AB36B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5ABC"/>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8424DF"/>
    <w:pPr>
      <w:keepNext/>
      <w:keepLines/>
      <w:numPr>
        <w:numId w:val="18"/>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8424DF"/>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8424DF"/>
    <w:pPr>
      <w:keepNext/>
      <w:keepLines/>
      <w:numPr>
        <w:numId w:val="18"/>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8424DF"/>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4FA6-DE6E-4A38-8620-4E43BEBD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SKBS_Leer</Template>
  <TotalTime>0</TotalTime>
  <Pages>8</Pages>
  <Words>1211</Words>
  <Characters>7593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8787</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2013-08-22T12:43:00Z</cp:lastPrinted>
  <dcterms:created xsi:type="dcterms:W3CDTF">2013-08-22T12:46:00Z</dcterms:created>
  <dcterms:modified xsi:type="dcterms:W3CDTF">2013-08-22T12:46:00Z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